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 всем мире формируется качественно новая среда общения людей. Интернет позволяет, не выходя из дома, - получать информацию, обмениваться ею, взаимодействовать как друг с другом, так и с органами власти. Электронные услуги и сервисы экономят время заявителя и повышают удобство их получения.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Доступ к электронным услугам обеспечивают</w:t>
      </w:r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единый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региональный </w:t>
        </w:r>
      </w:hyperlink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порталы государственных и муниципальных услуг, на которых содержится подробная и систематизированная информация о предоставляемых услугах, а также интерактивные формы заявлений и иные электронные сервисы. Использование на региональном портале Единой системы идентификац</w:t>
      </w:r>
      <w:proofErr w:type="gram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ии и ау</w:t>
      </w:r>
      <w:proofErr w:type="gram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тентификации (ЕСИА) позволило его пользователям получать электронные услуги, экранные формы которых размещены как на региональном, так и на едином портале </w:t>
      </w:r>
      <w:proofErr w:type="spell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 региональном портале </w:t>
      </w:r>
      <w:proofErr w:type="spell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размещено свыше 1200 услуг, более 440 из них имеют  интерактивные формы подачи заявлений (Приложения 1 и 2).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Это услуги в сфере здравоохранения, образования, соцзащиты, культуры, занятости населения, регистрации актов гражданского состояния, жилищно-коммунального хозяйства, </w:t>
      </w:r>
      <w:proofErr w:type="spell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имущественно</w:t>
      </w:r>
      <w:proofErr w:type="spell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-земельных отношений, строительства и регулирования предпринимательской деятельности.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поиска необходимой услуги можно воспользоваться тематическим классификатором, расположенным на главной странице портала. На странице</w:t>
      </w:r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«Каталог услуг» </w:t>
        </w:r>
      </w:hyperlink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расположен расширенный перечень классификаторов, обеспечивающих более быстрое нахождение требуемой услуги.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помощь пользователям разработаны видеоролики </w:t>
      </w:r>
      <w:hyperlink r:id="rId9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«Как найти услугу на портале </w:t>
        </w:r>
        <w:proofErr w:type="spellStart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госуслуг</w:t>
        </w:r>
        <w:proofErr w:type="spellEnd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?» 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«Что можно узнать из описания </w:t>
        </w:r>
        <w:proofErr w:type="spellStart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услуги?»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hyperlink r:id="rId11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«Как</w:t>
        </w:r>
        <w:proofErr w:type="spellEnd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 зарегистрироваться?»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2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«О портале </w:t>
        </w:r>
        <w:proofErr w:type="spellStart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госуслуг</w:t>
        </w:r>
        <w:proofErr w:type="spellEnd"/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 Липецкой области» 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Создана </w:t>
      </w:r>
      <w:hyperlink r:id="rId13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версия для слабовидящих</w:t>
        </w:r>
      </w:hyperlink>
      <w:proofErr w:type="gramStart"/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Если Вы хотите задать вопрос, связанный с получением государственных и муниципальных услуг, подать жалобу или оценить качество оказанной услуги, то это можно сделать на главной странице портала в разделе </w:t>
      </w:r>
      <w:hyperlink r:id="rId14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«Обратная связь» 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либо со страницы с описанием услуги на вкладке «Вопросы/Жалобы».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Наиболее популярны среди жителей нашей области услуги по получению информации о продвижении очередности в детский сад, об успеваемости школьников, о положении на рынке труда области, о состоянии лицевого счета в ПФР и о наличии штрафов ГИБДД, а также запись к врачу. В целях увеличения онлайн услуг на региональном портале разработаны интерактивные сервисы по информированию о полученных и предлагаемых мерах </w:t>
      </w:r>
      <w:proofErr w:type="spell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соцподдержки</w:t>
      </w:r>
      <w:proofErr w:type="spell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Кроме того, на портале можно узнать свою налоговую задолженность, подать показания счетчиков, купить железнодорожные билеты, узнать информацию о маршрутах транспорта, о времени его прибытия и воспользоваться другими не менее полезными электронными сервисами, перейдя в раздел </w:t>
      </w:r>
      <w:hyperlink r:id="rId15" w:history="1">
        <w:r w:rsidRPr="00A70C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«Е-сервисы»</w:t>
        </w:r>
      </w:hyperlink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получения этих и иных электронных  услуг необходимо зарегистрироваться на портале</w:t>
      </w:r>
      <w:proofErr w:type="gramStart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</w:t>
      </w:r>
      <w:proofErr w:type="gramEnd"/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созданном после регистрации личном кабинете можно ознакомиться с ходом исполнения услуги, в том числе и по услугам, заказанным в МФЦ.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Сведения об организациях, принимающих участие в предоставлении государственных и муниципальных услуг, с указанием адресов и часов приема, можно посмотреть в разделе</w:t>
      </w:r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history="1">
        <w:r w:rsidRPr="00A70C86">
          <w:rPr>
            <w:rFonts w:ascii="Times New Roman" w:eastAsia="Times New Roman" w:hAnsi="Times New Roman" w:cs="Times New Roman"/>
            <w:color w:val="0069BA"/>
            <w:sz w:val="24"/>
            <w:szCs w:val="24"/>
            <w:bdr w:val="none" w:sz="0" w:space="0" w:color="auto" w:frame="1"/>
            <w:lang w:eastAsia="ru-RU"/>
          </w:rPr>
          <w:t>«Куда обратиться»</w:t>
        </w:r>
      </w:hyperlink>
      <w:r w:rsidRPr="00A7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Описание организаций дополнено интерактивной картой, на которой отображается их местоположение, перейти на нее можно, нажав на адрес организации.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Подать заявление на получение услуг БТИ теперь можно в электронном виде!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Совсем недавно обратиться за получением</w:t>
      </w:r>
      <w:r w:rsidRPr="00A7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7" w:tgtFrame="_blank" w:history="1">
        <w:r w:rsidRPr="00A70C86">
          <w:rPr>
            <w:rFonts w:ascii="Times New Roman" w:eastAsia="Times New Roman" w:hAnsi="Times New Roman" w:cs="Times New Roman"/>
            <w:color w:val="CC6600"/>
            <w:sz w:val="24"/>
            <w:szCs w:val="24"/>
            <w:vertAlign w:val="superscript"/>
            <w:lang w:eastAsia="ru-RU"/>
          </w:rPr>
          <w:t>технического паспорта</w:t>
        </w:r>
      </w:hyperlink>
      <w:r w:rsidRPr="00A7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18" w:tgtFrame="_blank" w:tooltip="справки об инвентаризационной стоимости объекта недвижимости" w:history="1">
        <w:r w:rsidRPr="00A70C86">
          <w:rPr>
            <w:rFonts w:ascii="Times New Roman" w:eastAsia="Times New Roman" w:hAnsi="Times New Roman" w:cs="Times New Roman"/>
            <w:color w:val="CC6600"/>
            <w:sz w:val="24"/>
            <w:szCs w:val="24"/>
            <w:lang w:eastAsia="ru-RU"/>
          </w:rPr>
          <w:t>справки об инвентаризационной стоимости объекта недвижимости</w:t>
        </w:r>
      </w:hyperlink>
      <w:r w:rsidRPr="00A7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можно было только в офисе ОГУП «</w:t>
      </w:r>
      <w:proofErr w:type="spellStart"/>
      <w:r w:rsidRPr="00A7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Липецкоблтехинвентаризация</w:t>
      </w:r>
      <w:proofErr w:type="spellEnd"/>
      <w:r w:rsidRPr="00A7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Сложность и неудобство в получении данных услуг особо остро ощущали жители муниципальных районов области, которым приходилось преодолевать значительные расстояния и тратить много времени для того, чтобы подать заявление на получение услуги.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Теперь для жителей Липецкой области доступна дистанционная подача заявлений на получение услуг БТИ с регионального портала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 Данный способ значительно упрощает процедуру получения услуги, экономит время заявителей, а  также позволяет оперативно получать информацию о ходе исполнения услуги.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Для обращения за получением услуг достаточно подать с портала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заполненное заявление. При этом необходимо выбрать услугу в разделе «Имущественные отношения», подраздел «Недвижимость», в карточке услуги нажать кнопку «Подать заявление» и следовать указаниям по заполнению экранной формы заявления. После рассмотрения заявления в Личный кабинет заявителя на региональном портале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придет квитанция для оплаты и предложение даты и времени проведения осмотра недвижимости (для получения техпаспорта). Дальнейшая информация о ходе исполнения услуги и готовности заказанных документов также будет направляться заявителю в Личный кабинет.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Оплачивайте госпошлины со скидкой 30% на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Госуслугах</w:t>
      </w:r>
      <w:proofErr w:type="spellEnd"/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В соответствии со статьей 333-35 части второй Налогового кодекса Российской Федерации с 1 января 2017 года граждане, обращающиеся за получением услуг в электронной форме через портал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(при условии электронной оплаты пошлины), будут оплачивать госпошлину за нее со скидкой 30% – даже если результаты этих услуг выдаются на бумажном носителе.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 данный момент реализована возможность электронной оплаты госпошлин со скидкой 30% для следующих услуг: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hyperlink r:id="rId19" w:tgtFrame="_blank" w:tooltip="Получение или замена ВУ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Получение или замена ВУ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;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hyperlink r:id="rId20" w:tgtFrame="_blank" w:tooltip="Регистрация транспортного средства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Регистрация транспортного средства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;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hyperlink r:id="rId21" w:tgtFrame="_blank" w:tooltip="Государственная регистрация брака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Государственная регистрация брака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;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hyperlink r:id="rId22" w:tgtFrame="_blank" w:tooltip="Регистрация расторжения брака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Регистрация расторжения брака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 xml:space="preserve">Перечень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с возможностью оплаты госпошлины со скидкой через портал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со временем будет расширяться.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Чтобы получить скидку:</w:t>
      </w:r>
    </w:p>
    <w:p w:rsidR="00A70C86" w:rsidRPr="00A70C86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Подайте заявление на услугу через портал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</w:t>
      </w:r>
    </w:p>
    <w:p w:rsidR="00A70C86" w:rsidRPr="00A70C86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Подождите пока ведомство выставит счет на оплату пошлины по вашему заявлению в Личном </w:t>
      </w:r>
      <w:proofErr w:type="gram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кабинете</w:t>
      </w:r>
      <w:proofErr w:type="gram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и перейдите к оплате.</w:t>
      </w:r>
    </w:p>
    <w:p w:rsidR="00A70C86" w:rsidRPr="00A70C86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Выберите безналичный способ для оплаты госпошлины: Банковская карта (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Master</w:t>
      </w:r>
      <w:proofErr w:type="gram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</w:t>
      </w:r>
      <w:proofErr w:type="gram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ard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,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Visa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, Мир); Электронный кошелек (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Webmoney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); Мобильный телефон (Федеральные операторы).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Если условия соблюдены, то вы получаете скидку на оплату госпошлины. Оплачивать госпошлины со скидкой можно до 01 января 2019 года.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Оплата штрафа со скидкой 50% на портале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 </w:t>
      </w:r>
      <w:hyperlink r:id="rId23" w:tgtFrame="_blank" w:tooltip="Едином портале госуслуг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 xml:space="preserve">Едином портале </w:t>
        </w:r>
        <w:proofErr w:type="spellStart"/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госуслуг</w:t>
        </w:r>
        <w:proofErr w:type="spellEnd"/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(ЕПГУ), функционирует электронный сервис, с помощью которого пользователи могут оплачивать штрафы со скидкой 50% в течение 20 дней со дня вынесения постановления.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Изменения в Кодекс об административных правонарушениях, позволяющие в случае оперативной оплаты штрафов за незначительные нарушения правил дорожного движения получить скидку, вступили в силу с 1 января 2016 года.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 ЕПГУ воспользоваться сервисом могут зарегистрированные пользователи. Уведомления о выписанных штрафах будут автоматически доставляться в личные кабинеты пользователей, после чего система напоминает о возможности получить скидку. Условием получения скидки является оплата штрафа в течение 20 дней. Личный кабинет пользователя также поддерживает функцию оплаты.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На региональном портале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 функционирует сервис по информированию об исполнении заказанных в МФЦ услуг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Узнать о </w:t>
      </w:r>
      <w:proofErr w:type="gram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готовности</w:t>
      </w:r>
      <w:proofErr w:type="gram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заказанной через МФЦ услуги можно на региональном портале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Липецкой области (</w:t>
      </w:r>
      <w:hyperlink r:id="rId24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www.pgu48.ru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). Электронный сервис предоставляет дополнительные возможности пользователям регионального портала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и направлен на повышение удобства и комфорта при получении государственных и муниципальных услуг.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Сервис «Ход исполнения услуги в МФЦ» доступен из разделов </w:t>
      </w:r>
      <w:hyperlink r:id="rId25" w:tgtFrame="_blank" w:tooltip="МФЦ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"МФЦ"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и </w:t>
      </w:r>
      <w:hyperlink r:id="rId26" w:tgtFrame="_blank" w:tooltip="Е-сервисы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"Е-сервисы"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 портала. В личный кабинет пользователя портала поступает информация о ходе исполнения всех заказанных в МФЦ услуг, кроме услуг, предоставляемых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Росреестром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Электронные сервисы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соцподдержки</w:t>
      </w:r>
      <w:proofErr w:type="spellEnd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 стали доступны пользователям портала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!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Для повышения доступности услуг в социальной сфере на региональном портале государственных и муниципальных услуг Липецкой области функционируют </w:t>
      </w:r>
      <w:hyperlink r:id="rId27" w:tgtFrame="_blank" w:tooltip="интерактивные сервисы" w:history="1">
        <w:r w:rsidRPr="00A70C86">
          <w:rPr>
            <w:rFonts w:ascii="Arial" w:eastAsia="Times New Roman" w:hAnsi="Arial" w:cs="Arial"/>
            <w:color w:val="CC6600"/>
            <w:sz w:val="24"/>
            <w:szCs w:val="24"/>
            <w:lang w:eastAsia="ru-RU"/>
          </w:rPr>
          <w:t>интерактивные сервисы</w:t>
        </w:r>
      </w:hyperlink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по информированию: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- о размере и расчете полученных в органах соцзащиты социальных выплатах («Информация о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соцвыплатах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»);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- о предлагаемых органами соцзащиты мерах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соцподдержки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(«Социальный навигатор»).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Интерактивный сервис «Информация о </w:t>
      </w:r>
      <w:proofErr w:type="spellStart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соцвыплатах</w:t>
      </w:r>
      <w:proofErr w:type="spellEnd"/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» предоставляет пользователям информацию по запрашиваемому периоду об оказанных мерах социальной поддержки, включая алгоритм расчета начисленных сумм.</w:t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«Социальный навигатор» помогает пользователям портала сориентироваться среди обширного перечня предоставляемых социальных услуг с учетом жизненной ситуации и категории заявителя, а также подать заявление в электронном виде на получение заинтересовавших услуг.</w:t>
      </w:r>
    </w:p>
    <w:p w:rsidR="00A70C86" w:rsidRPr="00A70C86" w:rsidRDefault="00A70C86" w:rsidP="00A70C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br w:type="textWrapping" w:clear="all"/>
      </w:r>
    </w:p>
    <w:p w:rsidR="00A70C86" w:rsidRPr="00A70C86" w:rsidRDefault="00A70C86" w:rsidP="00A70C86">
      <w:pPr>
        <w:shd w:val="clear" w:color="auto" w:fill="FFFFFF"/>
        <w:spacing w:before="120" w:after="0" w:line="240" w:lineRule="auto"/>
        <w:jc w:val="righ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Приложение 1</w:t>
      </w:r>
    </w:p>
    <w:p w:rsidR="00A70C86" w:rsidRPr="00A70C86" w:rsidRDefault="00A70C86" w:rsidP="00A70C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Перечень типовых муниципальных услуг и услуг учреждений, предоставляемых в электронной форме на портале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784"/>
      </w:tblGrid>
      <w:tr w:rsidR="00A70C86" w:rsidRPr="00A70C86" w:rsidTr="00A70C86">
        <w:trPr>
          <w:trHeight w:val="303"/>
        </w:trPr>
        <w:tc>
          <w:tcPr>
            <w:tcW w:w="10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Услуги в сфере образования и науки</w:t>
            </w:r>
          </w:p>
        </w:tc>
      </w:tr>
      <w:tr w:rsidR="00A70C86" w:rsidRPr="00A70C86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A70C86" w:rsidRPr="00A70C86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A70C86" w:rsidRPr="00A70C86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</w:tr>
      <w:tr w:rsidR="00A70C86" w:rsidRPr="00A70C86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Компенсационные выплаты за содержание ребенка в образовательной организации, реализующей основную общеобразовательную программу</w:t>
            </w:r>
          </w:p>
        </w:tc>
      </w:tr>
      <w:tr w:rsidR="00A70C86" w:rsidRPr="00A70C86" w:rsidTr="00A70C86">
        <w:trPr>
          <w:trHeight w:val="281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 xml:space="preserve">Услуги в сфере </w:t>
            </w:r>
            <w:proofErr w:type="spellStart"/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 xml:space="preserve"> – земельных отношений, строительства и архитектуры </w:t>
            </w: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земельных участков в аренду из земель сельскохозяйственного назначения, находящихся в муниципальной собственности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прав на земельные участки, находящиеся в муниципальной  собственности Липецкой области, на которых расположены здания, строения, сооружения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Предоставление свободных земельных участков для целей, связанных со строительством (кроме </w:t>
            </w:r>
            <w:proofErr w:type="gramStart"/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)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муниципального имущества Липецкой области в аренду или безвозмездное пользование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(или) перепланировки жилых помещений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Принятие документов, а также 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разрешений на ввод объектов  в эксплуатацию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Предоставление в собственность земельных участков, составляющих территорию садоводческих, огороднических или дачных некоммерческих объединений, гражданам для садоводства и огородничества</w:t>
            </w:r>
          </w:p>
        </w:tc>
      </w:tr>
      <w:tr w:rsidR="00A70C86" w:rsidRPr="00A70C86" w:rsidTr="00A70C86">
        <w:trPr>
          <w:trHeight w:val="333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Услуги в сфере транспорта, производства и торговли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Выдача разрешения на движение по автомобильным дорогам муниципального значения транспортного средства, осуществляющего перевозку опасных, тяжеловесных и (или) крупногабаритных грузов</w:t>
            </w:r>
          </w:p>
        </w:tc>
      </w:tr>
      <w:tr w:rsidR="00A70C86" w:rsidRPr="00A70C86" w:rsidTr="00A70C86">
        <w:trPr>
          <w:trHeight w:val="279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Услуги сельских поселений</w:t>
            </w:r>
          </w:p>
        </w:tc>
      </w:tr>
      <w:tr w:rsidR="00A70C86" w:rsidRPr="00A70C86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A70C86" w:rsidRPr="00A70C86" w:rsidRDefault="00A70C86" w:rsidP="00A70C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</w:t>
      </w:r>
    </w:p>
    <w:p w:rsidR="00A70C86" w:rsidRPr="00A70C86" w:rsidRDefault="00A70C86" w:rsidP="00A70C86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Приложение 2</w:t>
      </w:r>
    </w:p>
    <w:p w:rsidR="00A70C86" w:rsidRPr="00A70C86" w:rsidRDefault="00A70C86" w:rsidP="00A70C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Перечень государственных услуг и услуг учреждений, </w:t>
      </w:r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br/>
        <w:t xml:space="preserve">предоставляемых в электронной форме на портале </w:t>
      </w:r>
      <w:proofErr w:type="spellStart"/>
      <w:r w:rsidRPr="00A70C86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017"/>
        <w:gridCol w:w="1017"/>
        <w:gridCol w:w="1824"/>
        <w:gridCol w:w="5739"/>
      </w:tblGrid>
      <w:tr w:rsidR="00A70C86" w:rsidRPr="00A70C86" w:rsidTr="00A70C86">
        <w:trPr>
          <w:trHeight w:val="903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п</w:t>
            </w:r>
            <w:proofErr w:type="gramEnd"/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№ услуги по ОИВ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Тип услуги</w:t>
            </w:r>
            <w:bookmarkStart w:id="0" w:name="ftnref1"/>
            <w:bookmarkEnd w:id="0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b/>
                <w:bCs/>
                <w:color w:val="646464"/>
                <w:sz w:val="20"/>
                <w:szCs w:val="20"/>
                <w:lang w:eastAsia="ru-RU"/>
              </w:rPr>
              <w:t xml:space="preserve">Наименование ОИВ,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b/>
                <w:bCs/>
                <w:color w:val="646464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b/>
                <w:bCs/>
                <w:color w:val="646464"/>
                <w:sz w:val="20"/>
                <w:szCs w:val="20"/>
                <w:lang w:eastAsia="ru-RU"/>
              </w:rPr>
              <w:t xml:space="preserve"> за услугу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b/>
                <w:bCs/>
                <w:color w:val="646464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Госжилинспек-ция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предпринимателями.</w:t>
            </w:r>
          </w:p>
        </w:tc>
      </w:tr>
      <w:tr w:rsidR="00A70C86" w:rsidRPr="00A70C86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Инспекция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гостехнадзора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выдаче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Приём экзаменов на право управления самоходными машинами и выдача удостоверений тракториста-машиниста (тракториста)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Рассмотрение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A70C86" w:rsidRPr="00A70C86" w:rsidTr="00A70C86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Регистрация тракторов, самоходных дорожно-строительных и иных машин и прицепов к ним с выдачей государственных регистрационных знаков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Технический осмотр зарегистрированных самоходных машин и других видов техники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дорог и транспорта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A70C86" w:rsidRPr="00A70C86" w:rsidTr="00A70C86">
        <w:trPr>
          <w:trHeight w:val="30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  <w:proofErr w:type="gramEnd"/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Липецкой области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детяи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-сиротам и детям, оставшимся без попечения родителей, а также лиц из их числа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ЗАГС и архивов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Проставление штампа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Апостиль</w:t>
            </w:r>
            <w:proofErr w:type="spellEnd"/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Исполнение запросов и обращений граждан Российской Федерации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Истребование документов по регистрации актов гражданского состояния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здравоохране-</w:t>
            </w: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Запись на прием к врачу</w:t>
            </w:r>
          </w:p>
        </w:tc>
      </w:tr>
      <w:tr w:rsidR="00A70C86" w:rsidRPr="00A70C86" w:rsidTr="00A70C86">
        <w:trPr>
          <w:trHeight w:val="1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Компенсация стоимости проезда малообеспеченным гражданам к месту лечения, детям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</w:p>
        </w:tc>
      </w:tr>
      <w:tr w:rsidR="00A70C86" w:rsidRPr="00A70C86" w:rsidTr="00A70C86">
        <w:trPr>
          <w:trHeight w:val="3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власти, государственным академиям наук)</w:t>
            </w:r>
          </w:p>
        </w:tc>
      </w:tr>
      <w:tr w:rsidR="00A70C86" w:rsidRPr="00A70C86" w:rsidTr="00A70C86">
        <w:trPr>
          <w:trHeight w:val="6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</w:tr>
      <w:tr w:rsidR="00A70C86" w:rsidRPr="00A70C86" w:rsidTr="00A70C86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</w:t>
            </w: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подведомственными федеральным органам исполнительной власти, государственным академиям наук)</w:t>
            </w:r>
          </w:p>
        </w:tc>
      </w:tr>
      <w:tr w:rsidR="00A70C86" w:rsidRPr="00A70C86" w:rsidTr="00A70C86">
        <w:trPr>
          <w:trHeight w:val="6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Направление граждан, нуждающихся в оказании специализированной, в том числе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Проведение аттестации для получения квалификационной категории медицинскими и фармацевтическими работниками</w:t>
            </w:r>
          </w:p>
        </w:tc>
      </w:tr>
      <w:tr w:rsidR="00A70C86" w:rsidRPr="00A70C86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имуществен-ных</w:t>
            </w:r>
            <w:proofErr w:type="spellEnd"/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и земельных отношений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землей, находящейся в государственной собственности Липецкой области и государственная собственность на которую не разграничена на территории городского округа город Липецк Липецкой области</w:t>
            </w:r>
          </w:p>
        </w:tc>
      </w:tr>
      <w:tr w:rsidR="00A70C86" w:rsidRPr="00A70C86" w:rsidTr="00A70C86">
        <w:trPr>
          <w:trHeight w:val="12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государственного имущества Липецкой области в аренду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государственного имущества Липецкой области в безвозмездное пользование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земельного участка, предназначенного для ведения сельскохозяйственного производства, находящегося в областной собственности, в аренду без проведения торгов путем заключения нового договора аренды</w:t>
            </w:r>
          </w:p>
        </w:tc>
      </w:tr>
      <w:tr w:rsidR="00A70C86" w:rsidRPr="00A70C86" w:rsidTr="00A70C86">
        <w:trPr>
          <w:trHeight w:val="23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на которых расположены здания, сооружения</w:t>
            </w:r>
            <w:proofErr w:type="gramEnd"/>
          </w:p>
        </w:tc>
      </w:tr>
      <w:tr w:rsidR="00A70C86" w:rsidRPr="00A70C86" w:rsidTr="00A70C86">
        <w:trPr>
          <w:trHeight w:val="24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</w:t>
            </w:r>
            <w:proofErr w:type="gramEnd"/>
          </w:p>
        </w:tc>
      </w:tr>
      <w:tr w:rsidR="00A70C86" w:rsidRPr="00A70C86" w:rsidTr="00A70C86">
        <w:trPr>
          <w:trHeight w:val="7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Технический паспорт здания (строения) или выписка из него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культуры и искусства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A70C86" w:rsidRPr="00A70C86" w:rsidTr="00A70C86">
        <w:trPr>
          <w:trHeight w:val="7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задания на проведение работ по сохранению объекта культурного наследия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разрешений на возобновление проведения землеустроительных, земляных, строительных, мелиоративных, хозяйственных и иных работ</w:t>
            </w:r>
          </w:p>
        </w:tc>
      </w:tr>
      <w:tr w:rsidR="00A70C86" w:rsidRPr="00A70C86" w:rsidTr="00A70C86">
        <w:trPr>
          <w:trHeight w:val="5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разрешений на проведение работ по сохранению объекта культурного наследия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собственнику объекта культурного наследия паспорта объекта культурного наследия</w:t>
            </w:r>
          </w:p>
        </w:tc>
      </w:tr>
      <w:tr w:rsidR="00A70C86" w:rsidRPr="00A70C86" w:rsidTr="00A70C86">
        <w:trPr>
          <w:trHeight w:val="6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Выявление объектов, обладающих признаками объекта культурного наследия</w:t>
            </w:r>
          </w:p>
        </w:tc>
      </w:tr>
      <w:tr w:rsidR="00A70C86" w:rsidRPr="00A70C86" w:rsidTr="00A70C86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Организация проведения историко-культурной экспертизы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Организация установки и согласование информационных надписей и обозначений на объекты культурного наследия</w:t>
            </w:r>
          </w:p>
        </w:tc>
      </w:tr>
      <w:tr w:rsidR="00A70C86" w:rsidRPr="00A70C86" w:rsidTr="00A70C86">
        <w:trPr>
          <w:trHeight w:val="7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Оформление охранного обязательства собственника объекта культурного наследия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доступа к  оцифрованным изданиям,    хранящимся в библиотеках, в том числе к фонду редких книг, с учетом соблюдения требований                законодательства  Российской Федерации об авторских и смежных правах</w:t>
            </w:r>
          </w:p>
        </w:tc>
      </w:tr>
      <w:tr w:rsidR="00A70C86" w:rsidRPr="00A70C86" w:rsidTr="00A70C86">
        <w:trPr>
          <w:trHeight w:val="7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доступа к  справочно-поисковому аппарату библиотек, базам данных.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Согласование документации территориального планирования, разрабатываемой для исторических поселений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Согласование проведения землеустроительных, земляных, строительных, мелиоративных, хозяйственных и иных работ и проектов проведения указанных работ</w:t>
            </w:r>
          </w:p>
        </w:tc>
      </w:tr>
      <w:tr w:rsidR="00A70C86" w:rsidRPr="00A70C86" w:rsidTr="00A70C86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  <w:tr w:rsidR="00A70C86" w:rsidRPr="00A70C86" w:rsidTr="00A70C86">
        <w:trPr>
          <w:trHeight w:val="6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проектов зон охраны объектов культурного наследия</w:t>
            </w:r>
            <w:proofErr w:type="gramEnd"/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лесного хозяйства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гражданам лесных насаждений для заготовки древесины для собственных нужд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Прием лесной декларации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Прием отчета об использовании лесов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образования и науки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Государственная аккредитация образовательных учреждений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Зачисление в государственное (областное) специальное (коррекционное) образовательное учреждение для обучающихся (воспитанников) с ограниченными возможностями здоровья</w:t>
            </w:r>
          </w:p>
        </w:tc>
      </w:tr>
      <w:tr w:rsidR="00A70C86" w:rsidRPr="00A70C86" w:rsidTr="00A70C86">
        <w:trPr>
          <w:trHeight w:val="4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Лицензирование образовательной деятельности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информации из базы данных Липецкой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приеме и зачислении в государственное (областное) учреждение начального и среднего профессионального образования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Предоставление информации о текущей успеваемости обучающегося и студента государственного (областного) учреждения начального и среднего профессионального образования, ведение электронных журналов </w:t>
            </w: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</w:tr>
      <w:tr w:rsidR="00A70C86" w:rsidRPr="00A70C86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государственного (областного) учреждения начального и среднего профессионального образования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информации об организации дополнительного профессионального образования в Липецкой области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Прием документов органами опеки и попечительства от лиц, желающих усыновить, принять под опеку (попечительство) детей, оставшихся без попечения родителей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Прием и зачисление в государственное (областное) учреждение начального, среднего профессионального образования, в том числе по программам переподготовки и повышения квалификации</w:t>
            </w:r>
          </w:p>
        </w:tc>
      </w:tr>
      <w:tr w:rsidR="00A70C86" w:rsidRPr="00A70C86" w:rsidTr="00A70C86">
        <w:trPr>
          <w:trHeight w:val="14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      </w:r>
          </w:p>
        </w:tc>
      </w:tr>
      <w:tr w:rsidR="00A70C86" w:rsidRPr="00A70C86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по охране, использованию объектов животного мира и водных биологических ресурсов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и аннулирование охотничьих билетов</w:t>
            </w:r>
          </w:p>
        </w:tc>
      </w:tr>
      <w:tr w:rsidR="00A70C86" w:rsidRPr="00A70C86" w:rsidTr="00A70C86">
        <w:trPr>
          <w:trHeight w:val="6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потребительс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-кого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рынка и ценовой политики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лицензий на розничную продажу алкогольной продукции</w:t>
            </w:r>
          </w:p>
        </w:tc>
      </w:tr>
      <w:tr w:rsidR="00A70C86" w:rsidRPr="00A70C86" w:rsidTr="00A70C86">
        <w:trPr>
          <w:trHeight w:val="8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Лицензирование заготовки, хранения, переработки и реализации лома черных металлов, цветных металлов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Выплата государственных единовременных пособий и ежемесячных  денежных компенсаций при возникновении поствакцинальных осложнений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Выплата инвалидам компенсации уплаченной ими страховой премии  по договору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Выплата компенсации проезда по территории области железнодорожным транспортом пригородного сообщения, с оплатой 50 процентов стоимости проезда без ограничения числа поездок и маршрута следования лицам, удостоенным почетного звания «Почетный гражданин Липецкой области»</w:t>
            </w:r>
          </w:p>
        </w:tc>
      </w:tr>
      <w:tr w:rsidR="00A70C86" w:rsidRPr="00A70C86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Выплата компенсации проезда по территории Российской Федерации один раз в год (туда и обратно) железнодорожным транспортом (в скорых и пассажирских поездах), воздушным или междугородным автомобильным транспортом лицам, удостоенным почетного звания «Почетный гражданин Липецкой области»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Выплата социального пособия на погребение в случаях, если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умерший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не подлежал обязательному социальному страхованию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Денежная выплата на оплату бытового газа в баллонах, твердого топлива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Компенсация абонентской платы за пользование стационарным телефоном и радиоточкой  Почетным гражданам области</w:t>
            </w:r>
          </w:p>
        </w:tc>
      </w:tr>
      <w:tr w:rsidR="00A70C86" w:rsidRPr="00A70C86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государственной социальной помощи в виде социального пособия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</w:tr>
      <w:tr w:rsidR="00A70C86" w:rsidRPr="00A70C86" w:rsidTr="00A70C86">
        <w:trPr>
          <w:trHeight w:val="9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в связи с рождением третьего и последующего детей или детей-близнецов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лицам из числа детей сирот и детей, оставшихся без попечения родителей, в связи с рождением ребенка (детей)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при рождении троих и более детей одновременно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A70C86" w:rsidRPr="00A70C86" w:rsidTr="00A70C86">
        <w:trPr>
          <w:trHeight w:val="9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ежемесячного пособия по уходу за ребенком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</w:tr>
      <w:tr w:rsidR="00A70C86" w:rsidRPr="00A70C86" w:rsidTr="00A70C86">
        <w:trPr>
          <w:trHeight w:val="44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денежной выплаты на проезд в автомобильном транспорте межмуниципального сообщения учащимся муниципальных общеобразовательных учреждений, учреждений начального профессионального образования и студентам очной формы обучения учреждений среднего и высшего профессионального образования из малообеспеченных семей, среднедушевой доход которых ниже величины прожиточного минимума, установленного в области в расчете на душу населения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 за выдающиеся достижения и особые заслуги перед Липецкой областью</w:t>
            </w:r>
          </w:p>
        </w:tc>
      </w:tr>
      <w:tr w:rsidR="00A70C86" w:rsidRPr="00A70C86" w:rsidTr="00A70C86">
        <w:trPr>
          <w:trHeight w:val="46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 по случаю потери кормильца, назначенной в соответствии с федеральным законодательством, детям, не достигшим возраста 18 лет, а также обучающимся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возраста 23 лет, </w:t>
            </w:r>
            <w:proofErr w:type="gram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на территории Липецкой области, родители (один из родителей) которых погибли (погиб) при исполнении обязанностей военной службы (служебных обязанностей) в Демократической Республике Афганистан, Чеченской Республике и на прилегающих к ней территориях Российской Федерации, а также на границе Российской Федерации с другими государствами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пенсии, назначенной в соответствии с федеральным законодательством лицам, имеющим особые заслуги перед Российской Федерацией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пенсии по случаю потери кормильца родителям и вдовам, дети и мужья которых погибли в "горячих точках"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социальной выплаты малоимущим молодым семьям на компенсацию затрат по найму (поднайму) жилого помещения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ежемесячной социальной выплаты малоимущим семьям на ребенка (детей) от полутора до трех лет</w:t>
            </w:r>
          </w:p>
        </w:tc>
      </w:tr>
      <w:tr w:rsidR="00A70C86" w:rsidRPr="00A70C86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пенсии по случаю потери кормильца членам семьи лиц, замещающих государственные должности Липецкой области, должности государственной гражданской службы области, а также лиц, уволившихся с государственной службы области или с государственной гражданской службы области в связи с выходом на пенсию, в случае их смерти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Назначение и выплата пенсионных выплат лицам, замещающим государственные должности Липецкой области и должности государственной гражданской службы Липецкой области</w:t>
            </w:r>
          </w:p>
        </w:tc>
      </w:tr>
      <w:tr w:rsidR="00A70C86" w:rsidRPr="00A70C86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Обеспечение жилищными сертификатами граждан, выезжающих из районов Крайнего Севера и приравненных к ним местностей, граждан, уволенных с военной службы, и приравненных к ним лиц, вынужденных переселенцев, а также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      </w:r>
          </w:p>
        </w:tc>
      </w:tr>
      <w:tr w:rsidR="00A70C86" w:rsidRPr="00A70C86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Оплата санаторно–курортных путевок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Осуществление ветеранам труда, ветеранам военной службы, ветеранам государственной службы,  труженикам тыла, реабилитированным лицам и  лицам, пострадавшим от политических репрессий, ежемесячных денежных выплат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Оформление и выдача гражданам удостоверения участника ликвидации последствий катастрофы на Чернобыльской АЭС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Оформление и выдача удостоверений гражданам, подвергшимся воздействию радиации вследствие аварии в 1957 году на  производственном объединении «Маяк» и сбросов радиоактивных отходов в реку </w:t>
            </w: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Оформление и 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Оформление и выдача удостоверения участникам Великой Отечественной войны</w:t>
            </w:r>
          </w:p>
        </w:tc>
      </w:tr>
      <w:tr w:rsidR="00A70C86" w:rsidRPr="00A70C86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– учащимся муниципальных общеобразовательных учреждений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бесплатной протезно-ортопедической помощи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гражданам денежных выплат на оплату жилого помещения и коммунальных услуг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нагрудным знаком "Почетный  донор России» или «Почетный донор СССР"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компенсации стоимости подключения жилого помещения к централизованной системе холодного водоснабжения малоимущим многодетным семьям»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оплаты стоимости газификации малоимущим многодетным семьям, нуждающимся в газификации жилья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путевок для детей, находящихся в трудной жизненной ситуации, источником финансирования для которых являются субсидии из федерального бюджета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путевок на санаторно - курортное лечение беременным женщинам из малоимущих молодых семей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санаторно-курортного лечения  или денежной компенсации стоимости санаторно-курортной путевки Почетным гражданам области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</w:tr>
      <w:tr w:rsidR="00A70C86" w:rsidRPr="00A70C86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Принятие документов и определение размера средств на проведение ремонта жилых домов, принадлежащих членам семей военнослужащих и сотрудников органов внутренних дел РФ, потерявшим кормильца, ремонт которых подлежит оплате за счет средств федерального бюджета, и направлению реестров плательщиков средств в уполномоченный федеральный орган исполнительной власти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Присвоение звания «Ветеран труда»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Регистрация и учет граждан, выехавших из районов Крайнего Севера и приравненных к ним местностей не ранее 1 января 1992г., имеющих право на получение социальной выплаты для приобретения жилья</w:t>
            </w:r>
          </w:p>
        </w:tc>
      </w:tr>
      <w:tr w:rsidR="00A70C86" w:rsidRPr="00A70C86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Субсидирование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</w:t>
            </w:r>
          </w:p>
        </w:tc>
      </w:tr>
      <w:tr w:rsidR="00A70C86" w:rsidRPr="00A70C86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A70C86" w:rsidRPr="00A70C86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A70C86" w:rsidRPr="00A70C86" w:rsidTr="00A70C86">
        <w:trPr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проектной документации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труда и занятости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Информирование о положении на рынке труда в Липецкой области</w:t>
            </w:r>
          </w:p>
        </w:tc>
      </w:tr>
      <w:tr w:rsidR="00A70C86" w:rsidRPr="00A70C86" w:rsidTr="00A70C86">
        <w:trPr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Организация временного трудоустройства  граждан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Организация профессиональной ориентации граждан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Профессиональное обучение безработных граждан</w:t>
            </w:r>
          </w:p>
        </w:tc>
      </w:tr>
      <w:tr w:rsidR="00A70C86" w:rsidRPr="00A70C86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трудовая пенсия по старости</w:t>
            </w:r>
          </w:p>
        </w:tc>
      </w:tr>
      <w:tr w:rsidR="00A70C86" w:rsidRPr="00A70C86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A70C86" w:rsidRPr="00A70C86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Управление экологии и природных ресурсов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A70C86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70C86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Лицензирование пользования участками недр местного значения на территории Липецкой области</w:t>
            </w:r>
          </w:p>
        </w:tc>
      </w:tr>
    </w:tbl>
    <w:p w:rsidR="00A35603" w:rsidRDefault="00A35603">
      <w:bookmarkStart w:id="1" w:name="_GoBack"/>
      <w:bookmarkEnd w:id="1"/>
    </w:p>
    <w:sectPr w:rsidR="00A35603" w:rsidSect="00A7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0D9"/>
    <w:multiLevelType w:val="multilevel"/>
    <w:tmpl w:val="E95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8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A26D8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2CA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0C86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C86"/>
    <w:rPr>
      <w:color w:val="0000FF"/>
      <w:u w:val="single"/>
    </w:rPr>
  </w:style>
  <w:style w:type="character" w:styleId="a5">
    <w:name w:val="Strong"/>
    <w:basedOn w:val="a0"/>
    <w:uiPriority w:val="22"/>
    <w:qFormat/>
    <w:rsid w:val="00A70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C86"/>
    <w:rPr>
      <w:color w:val="0000FF"/>
      <w:u w:val="single"/>
    </w:rPr>
  </w:style>
  <w:style w:type="character" w:styleId="a5">
    <w:name w:val="Strong"/>
    <w:basedOn w:val="a0"/>
    <w:uiPriority w:val="22"/>
    <w:qFormat/>
    <w:rsid w:val="00A70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lr.lipetsk.ru/wps/portal/lipetsk/catalog" TargetMode="External"/><Relationship Id="rId13" Type="http://schemas.openxmlformats.org/officeDocument/2006/relationships/hyperlink" Target="http://pgu.admlr.lipetsk.ru/wps/portal/lipetsksv/main/popular/!ut/p/b1/04_Sj9CPykssy0xPLMnMz0vMAfGjzOL9LSyMjCwtjDwNPF0NDRwt3J1MA41NjQwcjYAKIoEKDHAARwNC-sP1o_AqcTcnpMAMqgCPG_w88nNT9QtyIwwyA9IVASY8ecI!/dl4/d5/L2dBISEvZ0FBIS9nQSEh/" TargetMode="External"/><Relationship Id="rId18" Type="http://schemas.openxmlformats.org/officeDocument/2006/relationships/hyperlink" Target="https://pgu.admlr.lipetsk.ru/wps/myportal/lipetsk/service?serviceId=4840100010000048277" TargetMode="External"/><Relationship Id="rId26" Type="http://schemas.openxmlformats.org/officeDocument/2006/relationships/hyperlink" Target="http://pgu.admlr.lipetsk.ru/wps/portal/lipetsk/eservi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10081/1" TargetMode="External"/><Relationship Id="rId7" Type="http://schemas.openxmlformats.org/officeDocument/2006/relationships/hyperlink" Target="http://pgu.admlr.lipetsk.ru/wps/portal/lipetsk" TargetMode="External"/><Relationship Id="rId12" Type="http://schemas.openxmlformats.org/officeDocument/2006/relationships/hyperlink" Target="http://pgu.admlr.lipetsk.ru/wps/portal/lipetsk/helpuser" TargetMode="External"/><Relationship Id="rId17" Type="http://schemas.openxmlformats.org/officeDocument/2006/relationships/hyperlink" Target="https://pgu.admlr.lipetsk.ru/wps/myportal/lipetsk/service?serviceId=4840100010000046875" TargetMode="External"/><Relationship Id="rId25" Type="http://schemas.openxmlformats.org/officeDocument/2006/relationships/hyperlink" Target="http://pgu.admlr.lipetsk.ru/wps/portal/lipetsk/mfc" TargetMode="External"/><Relationship Id="rId2" Type="http://schemas.openxmlformats.org/officeDocument/2006/relationships/styles" Target="styles.xml"/><Relationship Id="rId16" Type="http://schemas.openxmlformats.org/officeDocument/2006/relationships/hyperlink" Target="http://pgu.admlr.lipetsk.ru/wps/portal/lipetsk/organizations" TargetMode="External"/><Relationship Id="rId20" Type="http://schemas.openxmlformats.org/officeDocument/2006/relationships/hyperlink" Target="https://www.gosuslugi.ru/100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pgu.admlr.lipetsk.ru/wps/portal/lipetsk/helpuser" TargetMode="External"/><Relationship Id="rId24" Type="http://schemas.openxmlformats.org/officeDocument/2006/relationships/hyperlink" Target="http://www.pgu4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admlr.lipetsk.ru/wps/portal/!ut/p/b0/04_Sj9CPykssy0xPLMnMz0vMAfGjzOL9LSyMjCwtjDwNLN0sDTzdXDy9wkycDAy8jPQLsh0VAddcfVU!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outu.be/s8N2tsJm8MQ" TargetMode="External"/><Relationship Id="rId19" Type="http://schemas.openxmlformats.org/officeDocument/2006/relationships/hyperlink" Target="https://www.gosuslugi.ru/10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cAayoA0Pva0" TargetMode="External"/><Relationship Id="rId14" Type="http://schemas.openxmlformats.org/officeDocument/2006/relationships/hyperlink" Target="http://pgu.admlr.lipetsk.ru/wps/portal/lipetsk" TargetMode="External"/><Relationship Id="rId22" Type="http://schemas.openxmlformats.org/officeDocument/2006/relationships/hyperlink" Target="https://www.gosuslugi.ru/10086" TargetMode="External"/><Relationship Id="rId27" Type="http://schemas.openxmlformats.org/officeDocument/2006/relationships/hyperlink" Target="http://pgu.admlr.lipetsk.ru/wps/portal/lipetsk/e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2018-01-23T08:00:00Z</dcterms:created>
  <dcterms:modified xsi:type="dcterms:W3CDTF">2018-01-23T11:11:00Z</dcterms:modified>
</cp:coreProperties>
</file>